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206" w:rsidRPr="00923D04" w:rsidRDefault="00BB3206" w:rsidP="00BB3206">
      <w:pPr>
        <w:spacing w:after="0" w:line="240" w:lineRule="auto"/>
        <w:jc w:val="center"/>
        <w:rPr>
          <w:rFonts w:ascii="BernhardTango BT" w:eastAsia="Times New Roman" w:hAnsi="BernhardTango BT" w:cs="Times New Roman"/>
          <w:b/>
          <w:i/>
          <w:sz w:val="32"/>
          <w:szCs w:val="24"/>
          <w:lang w:eastAsia="it-IT"/>
        </w:rPr>
      </w:pPr>
      <w:r w:rsidRPr="00923D04">
        <w:rPr>
          <w:rFonts w:ascii="BernhardTango BT" w:eastAsia="Times New Roman" w:hAnsi="BernhardTango BT" w:cs="Times New Roman"/>
          <w:b/>
          <w:i/>
          <w:noProof/>
          <w:sz w:val="32"/>
          <w:szCs w:val="24"/>
          <w:lang w:eastAsia="it-IT"/>
        </w:rPr>
        <w:drawing>
          <wp:inline distT="0" distB="0" distL="0" distR="0" wp14:anchorId="7E1EC3CC" wp14:editId="7D4A6F4D">
            <wp:extent cx="590550" cy="6762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206" w:rsidRPr="00923D04" w:rsidRDefault="00BB3206" w:rsidP="00BB3206">
      <w:pPr>
        <w:spacing w:after="0" w:line="240" w:lineRule="auto"/>
        <w:jc w:val="center"/>
        <w:rPr>
          <w:rFonts w:ascii="English111 Adagio BT" w:eastAsia="Times New Roman" w:hAnsi="English111 Adagio BT" w:cs="Times New Roman"/>
          <w:b/>
          <w:sz w:val="52"/>
          <w:szCs w:val="52"/>
          <w:lang w:eastAsia="it-IT"/>
        </w:rPr>
      </w:pPr>
      <w:r w:rsidRPr="00923D04">
        <w:rPr>
          <w:rFonts w:ascii="English111 Adagio BT" w:eastAsia="Times New Roman" w:hAnsi="English111 Adagio BT" w:cs="Times New Roman"/>
          <w:b/>
          <w:i/>
          <w:sz w:val="52"/>
          <w:szCs w:val="52"/>
          <w:lang w:eastAsia="it-IT"/>
        </w:rPr>
        <w:t>Ministero dell’Istruzione, dell’Università, della Ricerca</w:t>
      </w:r>
    </w:p>
    <w:p w:rsidR="00BB3206" w:rsidRPr="00923D04" w:rsidRDefault="00BB3206" w:rsidP="00BB3206">
      <w:pPr>
        <w:tabs>
          <w:tab w:val="left" w:pos="1985"/>
        </w:tabs>
        <w:spacing w:after="0" w:line="240" w:lineRule="auto"/>
        <w:jc w:val="center"/>
        <w:rPr>
          <w:rFonts w:ascii="English111 Adagio BT" w:eastAsia="Times New Roman" w:hAnsi="English111 Adagio BT" w:cs="Times New Roman"/>
          <w:sz w:val="44"/>
          <w:szCs w:val="44"/>
          <w:lang w:eastAsia="it-IT"/>
        </w:rPr>
      </w:pPr>
      <w:r w:rsidRPr="00923D04">
        <w:rPr>
          <w:rFonts w:ascii="English111 Adagio BT" w:eastAsia="Times New Roman" w:hAnsi="English111 Adagio BT" w:cs="Times New Roman"/>
          <w:sz w:val="44"/>
          <w:szCs w:val="44"/>
          <w:lang w:eastAsia="it-IT"/>
        </w:rPr>
        <w:t xml:space="preserve">Dipartimento per il sistema educativo di istruzione e formazione </w:t>
      </w:r>
    </w:p>
    <w:p w:rsidR="00BB3206" w:rsidRPr="00923D04" w:rsidRDefault="00BB3206" w:rsidP="00BB3206">
      <w:pPr>
        <w:tabs>
          <w:tab w:val="left" w:pos="-1701"/>
        </w:tabs>
        <w:spacing w:after="0" w:line="240" w:lineRule="auto"/>
        <w:jc w:val="center"/>
        <w:rPr>
          <w:rFonts w:ascii="English111 Adagio BT" w:eastAsia="Times New Roman" w:hAnsi="English111 Adagio BT" w:cs="Times New Roman"/>
          <w:sz w:val="32"/>
          <w:szCs w:val="24"/>
          <w:lang w:eastAsia="it-IT"/>
        </w:rPr>
      </w:pPr>
      <w:r w:rsidRPr="00923D04">
        <w:rPr>
          <w:rFonts w:ascii="English111 Adagio BT" w:eastAsia="Times New Roman" w:hAnsi="English111 Adagio BT" w:cs="Times New Roman"/>
          <w:sz w:val="32"/>
          <w:szCs w:val="24"/>
          <w:lang w:eastAsia="it-IT"/>
        </w:rPr>
        <w:t xml:space="preserve">Direzione Generale per lo Studente, l’Integrazione e la Partecipazione </w:t>
      </w:r>
    </w:p>
    <w:p w:rsidR="00BB3206" w:rsidRPr="00923D04" w:rsidRDefault="00BB3206" w:rsidP="00BB3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B3206" w:rsidRPr="0018303A" w:rsidRDefault="00BB3206" w:rsidP="00BB3206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it-IT"/>
        </w:rPr>
      </w:pPr>
    </w:p>
    <w:p w:rsidR="00BB3206" w:rsidRPr="0018303A" w:rsidRDefault="00C033B0" w:rsidP="00C033B0">
      <w:pPr>
        <w:spacing w:after="0"/>
        <w:rPr>
          <w:rFonts w:ascii="Book Antiqua" w:eastAsia="Times New Roman" w:hAnsi="Book Antiqua" w:cs="Times New Roman"/>
          <w:sz w:val="24"/>
          <w:szCs w:val="24"/>
          <w:lang w:eastAsia="it-IT"/>
        </w:rPr>
      </w:pPr>
      <w:r>
        <w:rPr>
          <w:rFonts w:ascii="Book Antiqua" w:eastAsia="Times New Roman" w:hAnsi="Book Antiqua" w:cs="Times New Roman"/>
          <w:sz w:val="24"/>
          <w:szCs w:val="24"/>
          <w:lang w:eastAsia="it-IT"/>
        </w:rPr>
        <w:t xml:space="preserve">Nota </w:t>
      </w:r>
      <w:proofErr w:type="spellStart"/>
      <w:r>
        <w:rPr>
          <w:rFonts w:ascii="Book Antiqua" w:eastAsia="Times New Roman" w:hAnsi="Book Antiqua" w:cs="Times New Roman"/>
          <w:sz w:val="24"/>
          <w:szCs w:val="24"/>
          <w:lang w:eastAsia="it-IT"/>
        </w:rPr>
        <w:t>prot</w:t>
      </w:r>
      <w:proofErr w:type="spellEnd"/>
      <w:r>
        <w:rPr>
          <w:rFonts w:ascii="Book Antiqua" w:eastAsia="Times New Roman" w:hAnsi="Book Antiqua" w:cs="Times New Roman"/>
          <w:sz w:val="24"/>
          <w:szCs w:val="24"/>
          <w:lang w:eastAsia="it-IT"/>
        </w:rPr>
        <w:t>. n. 6965 del I dicembre 2014</w:t>
      </w:r>
    </w:p>
    <w:p w:rsidR="00BB3206" w:rsidRPr="0018303A" w:rsidRDefault="00BB3206" w:rsidP="00BB3206">
      <w:pPr>
        <w:spacing w:after="0"/>
        <w:jc w:val="right"/>
        <w:rPr>
          <w:rFonts w:ascii="Book Antiqua" w:eastAsia="Times New Roman" w:hAnsi="Book Antiqua" w:cs="Times New Roman"/>
          <w:sz w:val="24"/>
          <w:szCs w:val="24"/>
          <w:lang w:eastAsia="it-IT"/>
        </w:rPr>
      </w:pPr>
      <w:r w:rsidRPr="0018303A">
        <w:rPr>
          <w:rFonts w:ascii="Book Antiqua" w:eastAsia="Times New Roman" w:hAnsi="Book Antiqua" w:cs="Times New Roman"/>
          <w:sz w:val="24"/>
          <w:szCs w:val="24"/>
          <w:lang w:eastAsia="it-IT"/>
        </w:rPr>
        <w:t xml:space="preserve">Ai Direttori Generali </w:t>
      </w:r>
    </w:p>
    <w:p w:rsidR="00BB3206" w:rsidRPr="0018303A" w:rsidRDefault="00BB3206" w:rsidP="00BB3206">
      <w:pPr>
        <w:spacing w:after="0"/>
        <w:jc w:val="right"/>
        <w:rPr>
          <w:rFonts w:ascii="Book Antiqua" w:eastAsia="Times New Roman" w:hAnsi="Book Antiqua" w:cs="Times New Roman"/>
          <w:sz w:val="24"/>
          <w:szCs w:val="24"/>
          <w:lang w:eastAsia="it-IT"/>
        </w:rPr>
      </w:pPr>
      <w:r w:rsidRPr="0018303A">
        <w:rPr>
          <w:rFonts w:ascii="Book Antiqua" w:eastAsia="Times New Roman" w:hAnsi="Book Antiqua" w:cs="Times New Roman"/>
          <w:sz w:val="24"/>
          <w:szCs w:val="24"/>
          <w:lang w:eastAsia="it-IT"/>
        </w:rPr>
        <w:t>degli Uffici Scolastici Regionali</w:t>
      </w:r>
    </w:p>
    <w:p w:rsidR="00BB3206" w:rsidRPr="0018303A" w:rsidRDefault="00BB3206" w:rsidP="00BB3206">
      <w:pPr>
        <w:spacing w:after="0"/>
        <w:jc w:val="right"/>
        <w:rPr>
          <w:rFonts w:ascii="Book Antiqua" w:eastAsia="Times New Roman" w:hAnsi="Book Antiqua" w:cs="Times New Roman"/>
          <w:sz w:val="24"/>
          <w:szCs w:val="24"/>
          <w:lang w:eastAsia="it-IT"/>
        </w:rPr>
      </w:pPr>
    </w:p>
    <w:p w:rsidR="00BB3206" w:rsidRPr="0018303A" w:rsidRDefault="00BB3206" w:rsidP="00BB3206">
      <w:pPr>
        <w:spacing w:after="0"/>
        <w:jc w:val="right"/>
        <w:rPr>
          <w:rFonts w:ascii="Book Antiqua" w:eastAsia="Times New Roman" w:hAnsi="Book Antiqua" w:cs="Times New Roman"/>
          <w:sz w:val="24"/>
          <w:szCs w:val="24"/>
          <w:lang w:eastAsia="it-IT"/>
        </w:rPr>
      </w:pPr>
      <w:r w:rsidRPr="0018303A">
        <w:rPr>
          <w:rFonts w:ascii="Book Antiqua" w:eastAsia="Times New Roman" w:hAnsi="Book Antiqua" w:cs="Times New Roman"/>
          <w:sz w:val="24"/>
          <w:szCs w:val="24"/>
          <w:lang w:eastAsia="it-IT"/>
        </w:rPr>
        <w:t>LORO SEDI</w:t>
      </w:r>
    </w:p>
    <w:p w:rsidR="008B7F1E" w:rsidRPr="0018303A" w:rsidRDefault="008B7F1E" w:rsidP="00BB3206">
      <w:pPr>
        <w:spacing w:after="0"/>
        <w:jc w:val="right"/>
        <w:rPr>
          <w:rFonts w:ascii="Book Antiqua" w:eastAsia="Times New Roman" w:hAnsi="Book Antiqua" w:cs="Times New Roman"/>
          <w:sz w:val="24"/>
          <w:szCs w:val="24"/>
          <w:lang w:eastAsia="it-IT"/>
        </w:rPr>
      </w:pPr>
    </w:p>
    <w:p w:rsidR="008B7F1E" w:rsidRPr="0018303A" w:rsidRDefault="008B7F1E" w:rsidP="008B7F1E">
      <w:pPr>
        <w:spacing w:after="0"/>
        <w:jc w:val="both"/>
        <w:rPr>
          <w:rFonts w:ascii="Book Antiqua" w:eastAsia="Times New Roman" w:hAnsi="Book Antiqua" w:cs="Times New Roman"/>
          <w:sz w:val="24"/>
          <w:szCs w:val="24"/>
          <w:lang w:eastAsia="it-IT"/>
        </w:rPr>
      </w:pPr>
      <w:r w:rsidRPr="0018303A">
        <w:rPr>
          <w:rFonts w:ascii="Book Antiqua" w:eastAsia="Times New Roman" w:hAnsi="Book Antiqua" w:cs="Times New Roman"/>
          <w:sz w:val="24"/>
          <w:szCs w:val="24"/>
          <w:lang w:eastAsia="it-IT"/>
        </w:rPr>
        <w:t xml:space="preserve">OGGETTO: Sperimentazione MIUR 2013 – 2014 del software </w:t>
      </w:r>
      <w:proofErr w:type="spellStart"/>
      <w:r w:rsidRPr="0018303A">
        <w:rPr>
          <w:rFonts w:ascii="Book Antiqua" w:eastAsia="Times New Roman" w:hAnsi="Book Antiqua" w:cs="Times New Roman"/>
          <w:sz w:val="24"/>
          <w:szCs w:val="24"/>
          <w:lang w:eastAsia="it-IT"/>
        </w:rPr>
        <w:t>S.Or.Prend.O</w:t>
      </w:r>
      <w:proofErr w:type="spellEnd"/>
      <w:r w:rsidRPr="0018303A">
        <w:rPr>
          <w:rFonts w:ascii="Book Antiqua" w:eastAsia="Times New Roman" w:hAnsi="Book Antiqua" w:cs="Times New Roman"/>
          <w:sz w:val="24"/>
          <w:szCs w:val="24"/>
          <w:lang w:eastAsia="it-IT"/>
        </w:rPr>
        <w:t xml:space="preserve"> per l’orientamento: trasmissione report sui risultati emersi.</w:t>
      </w:r>
    </w:p>
    <w:p w:rsidR="00BB3206" w:rsidRPr="0018303A" w:rsidRDefault="00BB3206" w:rsidP="0018303A">
      <w:pPr>
        <w:suppressAutoHyphens/>
        <w:spacing w:after="0" w:line="240" w:lineRule="auto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8B7F1E" w:rsidRPr="0018303A" w:rsidRDefault="008B7F1E" w:rsidP="0018303A">
      <w:pPr>
        <w:spacing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it-IT"/>
        </w:rPr>
      </w:pPr>
      <w:r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                     Con nota </w:t>
      </w:r>
      <w:proofErr w:type="spellStart"/>
      <w:r w:rsidRPr="0018303A">
        <w:rPr>
          <w:rFonts w:ascii="Book Antiqua" w:eastAsia="Times New Roman" w:hAnsi="Book Antiqua" w:cs="Calibri"/>
          <w:sz w:val="24"/>
          <w:szCs w:val="24"/>
          <w:lang w:eastAsia="ar-SA"/>
        </w:rPr>
        <w:t>prot</w:t>
      </w:r>
      <w:proofErr w:type="spellEnd"/>
      <w:r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. n. </w:t>
      </w:r>
      <w:r w:rsidRPr="0018303A">
        <w:rPr>
          <w:rFonts w:ascii="Book Antiqua" w:eastAsia="Times New Roman" w:hAnsi="Book Antiqua" w:cs="Times New Roman"/>
          <w:sz w:val="24"/>
          <w:szCs w:val="24"/>
          <w:lang w:eastAsia="it-IT"/>
        </w:rPr>
        <w:t xml:space="preserve">0006850 R.U. dell’8 novembre 2012, questa Direzione annunciava l’intenzione di proporre una sperimentazione nazionale del software </w:t>
      </w:r>
      <w:proofErr w:type="spellStart"/>
      <w:r w:rsidRPr="0018303A">
        <w:rPr>
          <w:rFonts w:ascii="Book Antiqua" w:eastAsia="Times New Roman" w:hAnsi="Book Antiqua" w:cs="Times New Roman"/>
          <w:sz w:val="24"/>
          <w:szCs w:val="24"/>
          <w:lang w:eastAsia="it-IT"/>
        </w:rPr>
        <w:t>S.Or.Prend.O</w:t>
      </w:r>
      <w:proofErr w:type="spellEnd"/>
      <w:r w:rsidRPr="0018303A">
        <w:rPr>
          <w:rFonts w:ascii="Book Antiqua" w:eastAsia="Times New Roman" w:hAnsi="Book Antiqua" w:cs="Times New Roman"/>
          <w:sz w:val="24"/>
          <w:szCs w:val="24"/>
          <w:lang w:eastAsia="it-IT"/>
        </w:rPr>
        <w:t xml:space="preserve"> per aiutare gli studenti ad orientarsi efficacemente nella scelta del percorso di studi successivo.                                                            </w:t>
      </w:r>
    </w:p>
    <w:p w:rsidR="00BB3206" w:rsidRPr="00BB3206" w:rsidRDefault="00BB3206" w:rsidP="0018303A">
      <w:pPr>
        <w:spacing w:line="240" w:lineRule="auto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L'idea di una sperimentazione nazionale del software S.OR.PRENDO </w:t>
      </w:r>
      <w:r w:rsidR="008B7F1E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con un’attenzione specifica per la scuola secondaria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di primo grado è nata dal confronto con i referenti regionali per l’orientamento. 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Da tale incontro è emerso che l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a sperimentazione di uno strumento per l’orientamento alle professioni poteva</w:t>
      </w:r>
      <w:r w:rsidR="008B7F1E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,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da una parte, stimolare una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più efficace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strutturazione e qualificazione delle pratiche di orientamento realizzate all'interno di questo delicato segmento del ciclo di studi, e dall'altra, </w:t>
      </w:r>
      <w:r w:rsidR="008B7F1E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offrire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anche l’opportunità di  promuovere iniziative utili per l'aggiornamento professionale dei docenti.</w:t>
      </w:r>
    </w:p>
    <w:p w:rsidR="00BB3206" w:rsidRPr="00BB3206" w:rsidRDefault="00BB3206" w:rsidP="0018303A">
      <w:pPr>
        <w:suppressAutoHyphens/>
        <w:spacing w:after="0" w:line="240" w:lineRule="auto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Questo 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segmento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sco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lastico rappresenta l’anello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critico della nostra scuola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,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perché precede la prima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importante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scelta e 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perché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si colloca in un momento molto de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>licato della vita dei ragazzi. Di conseguenza, i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l ruolo dei docenti è fondamentale per fornire un supporto qualificato a tutti gli studenti e alle famiglie per rafforzare i processi di conoscenza e di scelta.</w:t>
      </w:r>
    </w:p>
    <w:p w:rsidR="00BB3206" w:rsidRPr="00BB3206" w:rsidRDefault="00BB3206" w:rsidP="0018303A">
      <w:pPr>
        <w:suppressAutoHyphens/>
        <w:spacing w:after="0" w:line="240" w:lineRule="auto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All'interno</w:t>
      </w:r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>,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qui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>ndi</w:t>
      </w:r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>,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della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strategia 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nazionale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di rafforzamento dell'orientamento</w:t>
      </w:r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( vedi nota </w:t>
      </w:r>
      <w:proofErr w:type="spellStart"/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>prot</w:t>
      </w:r>
      <w:proofErr w:type="spellEnd"/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>. n. 4232 del 19.02.2014, “Linee guida per l’orientamento permanente”)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, inteso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non come elemento accessorio e finale di un percorso di studi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,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ma come componente permeante e trasversale dell’intervento educativo di ogni docente, è stata promossa questa sperimentazione dal Ministero dell’Istruzione, con l'assistenza tecnica del Centro Studi </w:t>
      </w:r>
      <w:proofErr w:type="spellStart"/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Pluriversum</w:t>
      </w:r>
      <w:proofErr w:type="spellEnd"/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, società che ha fornito 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gratuitamente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lo strumento alle scuole e ha garantito la formazione ed il supporto ai docenti.</w:t>
      </w:r>
    </w:p>
    <w:p w:rsidR="001847FD" w:rsidRPr="0018303A" w:rsidRDefault="00BB3206" w:rsidP="0018303A">
      <w:pPr>
        <w:suppressAutoHyphens/>
        <w:spacing w:after="0" w:line="240" w:lineRule="auto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lastRenderedPageBreak/>
        <w:t>La sperimentazione ha coinvolto oltre 3000 studenti in 12 r</w:t>
      </w:r>
      <w:r w:rsidRPr="00BB3206">
        <w:rPr>
          <w:rFonts w:ascii="Book Antiqua" w:eastAsia="Times New Roman" w:hAnsi="Book Antiqua" w:cs="Calibri"/>
          <w:color w:val="000000"/>
          <w:sz w:val="24"/>
          <w:szCs w:val="24"/>
          <w:lang w:eastAsia="ar-SA"/>
        </w:rPr>
        <w:t>egioni e 98 Istituzioni scolastiche (in misura maggiore Istituti scolastici della scuola secondaria di primo grado</w:t>
      </w:r>
      <w:r w:rsidR="0018303A">
        <w:rPr>
          <w:rFonts w:ascii="Book Antiqua" w:eastAsia="Times New Roman" w:hAnsi="Book Antiqua" w:cs="Calibri"/>
          <w:color w:val="000000"/>
          <w:sz w:val="24"/>
          <w:szCs w:val="24"/>
          <w:lang w:eastAsia="ar-SA"/>
        </w:rPr>
        <w:t xml:space="preserve">, ma anche istituti secondari di 2° grado e </w:t>
      </w:r>
      <w:r w:rsidRPr="00BB3206">
        <w:rPr>
          <w:rFonts w:ascii="Book Antiqua" w:eastAsia="Times New Roman" w:hAnsi="Book Antiqua" w:cs="Calibri"/>
          <w:color w:val="000000"/>
          <w:sz w:val="24"/>
          <w:szCs w:val="24"/>
          <w:lang w:eastAsia="ar-SA"/>
        </w:rPr>
        <w:t xml:space="preserve"> alcuni Centri Territoriali Permanenti)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>in un progetto che ha introdotto questo n</w:t>
      </w:r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uovo strumento di orientamento 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all’interno delle </w:t>
      </w: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attività di orientamento già programmate dalle scuole, in modo da arricchire, valorizzare, potenziare e razionalizzare il patrimonio già esistente di pratiche, attività, strumenti e reti di contatti territoriali utilizzati in questo ambito. </w:t>
      </w:r>
    </w:p>
    <w:p w:rsidR="00BB3206" w:rsidRPr="0018303A" w:rsidRDefault="00BB3206" w:rsidP="0018303A">
      <w:pPr>
        <w:suppressAutoHyphens/>
        <w:spacing w:after="0" w:line="240" w:lineRule="auto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BB3206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A questo scopo, la sperimentazione ha sollecitato la partecipazione attiva dei 'team regionali per l’orientamento', designati dai rispettivi Uffici Scolastici Regionali, che hanno svolto funzioni di monitoraggio e di coordinamento, anche in riferimento alle “reti territoriali”, indispensabili per lo sviluppo di azioni coerenti con le vocazioni e le risorse dei contesti locali. </w:t>
      </w:r>
    </w:p>
    <w:p w:rsidR="0018303A" w:rsidRDefault="001847FD" w:rsidP="0018303A">
      <w:pPr>
        <w:suppressAutoHyphens/>
        <w:spacing w:after="0" w:line="240" w:lineRule="auto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8303A">
        <w:rPr>
          <w:rFonts w:ascii="Book Antiqua" w:eastAsia="Times New Roman" w:hAnsi="Book Antiqua" w:cs="Calibri"/>
          <w:sz w:val="24"/>
          <w:szCs w:val="24"/>
          <w:lang w:eastAsia="ar-SA"/>
        </w:rPr>
        <w:t>Considerando oltremodo utile</w:t>
      </w:r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>,</w:t>
      </w:r>
      <w:r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oltre che opportuno</w:t>
      </w:r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>,</w:t>
      </w:r>
      <w:r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restituire un feedb</w:t>
      </w:r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ack alle scuole coinvolte e a tutte le </w:t>
      </w:r>
      <w:r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scuole, che ordinariamente progettano percorsi di orientamento per i loro studenti, si trasmette, in allegato, il report finale sulla sperimentazione realizzata</w:t>
      </w:r>
      <w:r w:rsidR="0018303A">
        <w:rPr>
          <w:rFonts w:ascii="Book Antiqua" w:eastAsia="Times New Roman" w:hAnsi="Book Antiqua" w:cs="Calibri"/>
          <w:sz w:val="24"/>
          <w:szCs w:val="24"/>
          <w:lang w:eastAsia="ar-SA"/>
        </w:rPr>
        <w:t>.</w:t>
      </w:r>
    </w:p>
    <w:p w:rsidR="001847FD" w:rsidRPr="00BB3206" w:rsidRDefault="0018303A" w:rsidP="0018303A">
      <w:pPr>
        <w:suppressAutoHyphens/>
        <w:spacing w:after="0" w:line="240" w:lineRule="auto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  <w:r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                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>Ringraziando per l’attenzione, si invitano le SS.LL. a dare massima diffus</w:t>
      </w:r>
      <w:r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ione alla presente nota e al report </w:t>
      </w:r>
      <w:r w:rsidR="001847FD" w:rsidRPr="0018303A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allegato. </w:t>
      </w:r>
    </w:p>
    <w:p w:rsidR="000B55C4" w:rsidRDefault="000B55C4" w:rsidP="0018303A">
      <w:pPr>
        <w:spacing w:line="240" w:lineRule="auto"/>
      </w:pPr>
    </w:p>
    <w:p w:rsidR="0018303A" w:rsidRDefault="0018303A" w:rsidP="0018303A">
      <w:pPr>
        <w:spacing w:line="240" w:lineRule="auto"/>
      </w:pPr>
    </w:p>
    <w:p w:rsidR="0018303A" w:rsidRPr="0018303A" w:rsidRDefault="0018303A" w:rsidP="0018303A">
      <w:pPr>
        <w:spacing w:line="240" w:lineRule="auto"/>
        <w:jc w:val="right"/>
        <w:rPr>
          <w:rFonts w:ascii="Book Antiqua" w:hAnsi="Book Antiqua"/>
          <w:sz w:val="24"/>
          <w:szCs w:val="24"/>
        </w:rPr>
      </w:pPr>
      <w:r w:rsidRPr="0018303A">
        <w:rPr>
          <w:rFonts w:ascii="Book Antiqua" w:hAnsi="Book Antiqua"/>
          <w:sz w:val="24"/>
          <w:szCs w:val="24"/>
        </w:rPr>
        <w:t>IL DIRETTORE GENERALE</w:t>
      </w:r>
    </w:p>
    <w:p w:rsidR="0018303A" w:rsidRDefault="00C033B0" w:rsidP="0018303A">
      <w:pPr>
        <w:spacing w:line="240" w:lineRule="auto"/>
        <w:jc w:val="right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F.to </w:t>
      </w:r>
      <w:bookmarkStart w:id="0" w:name="_GoBack"/>
      <w:bookmarkEnd w:id="0"/>
      <w:r w:rsidR="0018303A" w:rsidRPr="0018303A">
        <w:rPr>
          <w:rFonts w:ascii="Book Antiqua" w:hAnsi="Book Antiqua"/>
          <w:sz w:val="24"/>
          <w:szCs w:val="24"/>
        </w:rPr>
        <w:t>Giovanna BODA</w:t>
      </w:r>
    </w:p>
    <w:p w:rsidR="008A15C3" w:rsidRDefault="008A15C3" w:rsidP="0018303A">
      <w:pPr>
        <w:spacing w:line="240" w:lineRule="auto"/>
        <w:jc w:val="right"/>
        <w:rPr>
          <w:rFonts w:ascii="Book Antiqua" w:hAnsi="Book Antiqua"/>
          <w:sz w:val="24"/>
          <w:szCs w:val="24"/>
        </w:rPr>
      </w:pPr>
    </w:p>
    <w:p w:rsidR="008A15C3" w:rsidRDefault="008A15C3" w:rsidP="008A15C3">
      <w:pPr>
        <w:spacing w:line="240" w:lineRule="auto"/>
        <w:jc w:val="both"/>
        <w:rPr>
          <w:rFonts w:ascii="Book Antiqua" w:hAnsi="Book Antiqua"/>
          <w:sz w:val="24"/>
          <w:szCs w:val="24"/>
        </w:rPr>
      </w:pPr>
    </w:p>
    <w:p w:rsidR="008A15C3" w:rsidRDefault="008A15C3" w:rsidP="008A15C3">
      <w:pPr>
        <w:spacing w:line="240" w:lineRule="auto"/>
        <w:jc w:val="both"/>
        <w:rPr>
          <w:rFonts w:ascii="Book Antiqua" w:hAnsi="Book Antiqua"/>
          <w:sz w:val="24"/>
          <w:szCs w:val="24"/>
        </w:rPr>
      </w:pPr>
    </w:p>
    <w:p w:rsidR="008A15C3" w:rsidRPr="0018303A" w:rsidRDefault="008A15C3" w:rsidP="008A15C3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ALLEGATO: Report finale sperimentazione software per l’orientamento </w:t>
      </w:r>
      <w:proofErr w:type="spellStart"/>
      <w:r>
        <w:rPr>
          <w:rFonts w:ascii="Book Antiqua" w:hAnsi="Book Antiqua"/>
          <w:sz w:val="24"/>
          <w:szCs w:val="24"/>
        </w:rPr>
        <w:t>S.Or.Prend.O</w:t>
      </w:r>
      <w:proofErr w:type="spellEnd"/>
    </w:p>
    <w:sectPr w:rsidR="008A15C3" w:rsidRPr="0018303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04" w:rsidRDefault="007B0D04" w:rsidP="00BB3206">
      <w:pPr>
        <w:spacing w:after="0" w:line="240" w:lineRule="auto"/>
      </w:pPr>
      <w:r>
        <w:separator/>
      </w:r>
    </w:p>
  </w:endnote>
  <w:endnote w:type="continuationSeparator" w:id="0">
    <w:p w:rsidR="007B0D04" w:rsidRDefault="007B0D04" w:rsidP="00BB3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Arabic Typesetting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206" w:rsidRDefault="00BB3206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Theme="majorEastAsia" w:cstheme="majorBidi"/>
        <w:sz w:val="16"/>
        <w:szCs w:val="16"/>
      </w:rPr>
      <w:t xml:space="preserve">Referente: Speranzina Ferraro                                                                                                                      E-mail: </w:t>
    </w:r>
    <w:hyperlink r:id="rId1" w:history="1">
      <w:r w:rsidRPr="009929A0">
        <w:rPr>
          <w:rStyle w:val="Collegamentoipertestuale"/>
          <w:rFonts w:eastAsiaTheme="majorEastAsia" w:cstheme="majorBidi"/>
          <w:sz w:val="16"/>
          <w:szCs w:val="16"/>
        </w:rPr>
        <w:t>speranzina.ferraro@istruzione.it</w:t>
      </w:r>
    </w:hyperlink>
    <w:r>
      <w:rPr>
        <w:rFonts w:eastAsiaTheme="majorEastAsia" w:cstheme="majorBidi"/>
        <w:sz w:val="16"/>
        <w:szCs w:val="16"/>
      </w:rPr>
      <w:t xml:space="preserve"> </w:t>
    </w:r>
    <w:r w:rsidRPr="00BB3206">
      <w:rPr>
        <w:rFonts w:eastAsiaTheme="majorEastAsia" w:cstheme="majorBidi"/>
        <w:sz w:val="16"/>
        <w:szCs w:val="16"/>
      </w:rPr>
      <w:ptab w:relativeTo="margin" w:alignment="right" w:leader="none"/>
    </w:r>
    <w:r w:rsidRPr="00BB3206">
      <w:rPr>
        <w:rFonts w:eastAsiaTheme="majorEastAsia" w:cstheme="majorBidi"/>
        <w:sz w:val="16"/>
        <w:szCs w:val="16"/>
      </w:rPr>
      <w:t>Pag</w:t>
    </w:r>
    <w:r>
      <w:rPr>
        <w:rFonts w:asciiTheme="majorHAnsi" w:eastAsiaTheme="majorEastAsia" w:hAnsiTheme="majorHAnsi" w:cstheme="majorBidi"/>
      </w:rPr>
      <w:t xml:space="preserve">.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C033B0" w:rsidRPr="00C033B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BB3206" w:rsidRDefault="00BB32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04" w:rsidRDefault="007B0D04" w:rsidP="00BB3206">
      <w:pPr>
        <w:spacing w:after="0" w:line="240" w:lineRule="auto"/>
      </w:pPr>
      <w:r>
        <w:separator/>
      </w:r>
    </w:p>
  </w:footnote>
  <w:footnote w:type="continuationSeparator" w:id="0">
    <w:p w:rsidR="007B0D04" w:rsidRDefault="007B0D04" w:rsidP="00BB32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206"/>
    <w:rsid w:val="000B55C4"/>
    <w:rsid w:val="0018303A"/>
    <w:rsid w:val="001847FD"/>
    <w:rsid w:val="00620E8E"/>
    <w:rsid w:val="007B0D04"/>
    <w:rsid w:val="008A15C3"/>
    <w:rsid w:val="008B7F1E"/>
    <w:rsid w:val="00BB3206"/>
    <w:rsid w:val="00C033B0"/>
    <w:rsid w:val="00FB2DF1"/>
    <w:rsid w:val="00FE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20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B3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206"/>
  </w:style>
  <w:style w:type="paragraph" w:styleId="Pidipagina">
    <w:name w:val="footer"/>
    <w:basedOn w:val="Normale"/>
    <w:link w:val="PidipaginaCarattere"/>
    <w:uiPriority w:val="99"/>
    <w:unhideWhenUsed/>
    <w:rsid w:val="00BB3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206"/>
  </w:style>
  <w:style w:type="character" w:styleId="Collegamentoipertestuale">
    <w:name w:val="Hyperlink"/>
    <w:basedOn w:val="Carpredefinitoparagrafo"/>
    <w:uiPriority w:val="99"/>
    <w:unhideWhenUsed/>
    <w:rsid w:val="00BB32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20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B3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206"/>
  </w:style>
  <w:style w:type="paragraph" w:styleId="Pidipagina">
    <w:name w:val="footer"/>
    <w:basedOn w:val="Normale"/>
    <w:link w:val="PidipaginaCarattere"/>
    <w:uiPriority w:val="99"/>
    <w:unhideWhenUsed/>
    <w:rsid w:val="00BB3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206"/>
  </w:style>
  <w:style w:type="character" w:styleId="Collegamentoipertestuale">
    <w:name w:val="Hyperlink"/>
    <w:basedOn w:val="Carpredefinitoparagrafo"/>
    <w:uiPriority w:val="99"/>
    <w:unhideWhenUsed/>
    <w:rsid w:val="00BB32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peranzina.ferrar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2014-11-27T09:08:00Z</cp:lastPrinted>
  <dcterms:created xsi:type="dcterms:W3CDTF">2014-11-27T09:10:00Z</dcterms:created>
  <dcterms:modified xsi:type="dcterms:W3CDTF">2014-12-01T12:38:00Z</dcterms:modified>
</cp:coreProperties>
</file>